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07" w:rsidRDefault="00CC2D6C">
      <w:r>
        <w:t>Artículo 85.</w:t>
      </w:r>
    </w:p>
    <w:p w:rsidR="00CC2D6C" w:rsidRDefault="00CC2D6C">
      <w:r>
        <w:t>Adicionalmente de lo señalado en los artículos 81 y 82 de la presente Ley, los Ayuntamientos deberán poner a disposición del público y actualizar la información siguiente:</w:t>
      </w:r>
    </w:p>
    <w:p w:rsidR="00CC2D6C" w:rsidRDefault="00CC2D6C"/>
    <w:p w:rsidR="00CC2D6C" w:rsidRDefault="00CC2D6C">
      <w:r>
        <w:t xml:space="preserve">I.- El contenido en las gacetas municipales, los resolutivos y acuerdos aprobados por los ayuntamientos; </w:t>
      </w:r>
    </w:p>
    <w:p w:rsidR="00CC2D6C" w:rsidRDefault="00CC2D6C">
      <w:bookmarkStart w:id="0" w:name="_GoBack"/>
      <w:bookmarkEnd w:id="0"/>
    </w:p>
    <w:p w:rsidR="00CC2D6C" w:rsidRDefault="00CC2D6C">
      <w:r>
        <w:t>II.- Las actas de sesiones de cabildo, los controles de asistencia de los integrantes del Ayuntamiento a las sesiones de cabildo y el sentido de votación de los miembros del cabildo sobre las iniciativas o acuerdos.</w:t>
      </w:r>
    </w:p>
    <w:sectPr w:rsidR="00CC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6C"/>
    <w:rsid w:val="005A4907"/>
    <w:rsid w:val="00C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Kenia</cp:lastModifiedBy>
  <cp:revision>1</cp:revision>
  <dcterms:created xsi:type="dcterms:W3CDTF">2022-08-12T04:56:00Z</dcterms:created>
  <dcterms:modified xsi:type="dcterms:W3CDTF">2022-08-12T04:59:00Z</dcterms:modified>
</cp:coreProperties>
</file>